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21284" w14:textId="49145BD1" w:rsidR="00BE368C" w:rsidRDefault="00FC0949">
      <w:pPr>
        <w:spacing w:afterLines="50" w:after="156"/>
        <w:jc w:val="center"/>
        <w:rPr>
          <w:rFonts w:ascii="黑体" w:eastAsia="黑体"/>
          <w:sz w:val="32"/>
          <w:szCs w:val="32"/>
        </w:rPr>
      </w:pPr>
      <w:r>
        <w:rPr>
          <w:rFonts w:ascii="黑体" w:eastAsia="黑体" w:hint="eastAsia"/>
          <w:sz w:val="32"/>
          <w:szCs w:val="32"/>
        </w:rPr>
        <w:t>毕业论文（设计）开题报告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368"/>
        <w:gridCol w:w="493"/>
        <w:gridCol w:w="559"/>
        <w:gridCol w:w="356"/>
        <w:gridCol w:w="1323"/>
        <w:gridCol w:w="1211"/>
        <w:gridCol w:w="2384"/>
      </w:tblGrid>
      <w:tr w:rsidR="00BE368C" w14:paraId="7BB3663E" w14:textId="77777777" w:rsidTr="00BB1020">
        <w:trPr>
          <w:trHeight w:val="495"/>
        </w:trPr>
        <w:tc>
          <w:tcPr>
            <w:tcW w:w="828" w:type="dxa"/>
            <w:vAlign w:val="center"/>
          </w:tcPr>
          <w:p w14:paraId="768D3FCC" w14:textId="77777777" w:rsidR="00BE368C" w:rsidRDefault="00FC0949">
            <w:pPr>
              <w:jc w:val="center"/>
              <w:rPr>
                <w:sz w:val="24"/>
              </w:rPr>
            </w:pPr>
            <w:r>
              <w:rPr>
                <w:rFonts w:hint="eastAsia"/>
                <w:sz w:val="24"/>
              </w:rPr>
              <w:t>学</w:t>
            </w:r>
            <w:r>
              <w:rPr>
                <w:rFonts w:hint="eastAsia"/>
                <w:sz w:val="24"/>
              </w:rPr>
              <w:t xml:space="preserve"> </w:t>
            </w:r>
            <w:r>
              <w:rPr>
                <w:rFonts w:hint="eastAsia"/>
                <w:sz w:val="24"/>
              </w:rPr>
              <w:t>院</w:t>
            </w:r>
          </w:p>
        </w:tc>
        <w:tc>
          <w:tcPr>
            <w:tcW w:w="2776" w:type="dxa"/>
            <w:gridSpan w:val="4"/>
            <w:vAlign w:val="center"/>
          </w:tcPr>
          <w:p w14:paraId="23D55A0A" w14:textId="61BD0434" w:rsidR="00BE368C" w:rsidRDefault="00BE368C">
            <w:pPr>
              <w:jc w:val="center"/>
              <w:rPr>
                <w:sz w:val="24"/>
              </w:rPr>
            </w:pPr>
          </w:p>
        </w:tc>
        <w:tc>
          <w:tcPr>
            <w:tcW w:w="1323" w:type="dxa"/>
            <w:vAlign w:val="center"/>
          </w:tcPr>
          <w:p w14:paraId="4AEBFEE2" w14:textId="77777777" w:rsidR="00BE368C" w:rsidRDefault="00FC0949">
            <w:pPr>
              <w:jc w:val="center"/>
              <w:rPr>
                <w:sz w:val="24"/>
              </w:rPr>
            </w:pPr>
            <w:r>
              <w:rPr>
                <w:rFonts w:hint="eastAsia"/>
                <w:sz w:val="24"/>
              </w:rPr>
              <w:t>专</w:t>
            </w:r>
            <w:r>
              <w:rPr>
                <w:rFonts w:hint="eastAsia"/>
                <w:sz w:val="24"/>
              </w:rPr>
              <w:t xml:space="preserve"> </w:t>
            </w:r>
            <w:r>
              <w:rPr>
                <w:rFonts w:hint="eastAsia"/>
                <w:sz w:val="24"/>
              </w:rPr>
              <w:t>业</w:t>
            </w:r>
          </w:p>
        </w:tc>
        <w:tc>
          <w:tcPr>
            <w:tcW w:w="3595" w:type="dxa"/>
            <w:gridSpan w:val="2"/>
            <w:vAlign w:val="center"/>
          </w:tcPr>
          <w:p w14:paraId="5A9E085B" w14:textId="2B572432" w:rsidR="00BE368C" w:rsidRDefault="00BE368C">
            <w:pPr>
              <w:jc w:val="center"/>
              <w:rPr>
                <w:sz w:val="24"/>
              </w:rPr>
            </w:pPr>
          </w:p>
        </w:tc>
      </w:tr>
      <w:tr w:rsidR="00BE368C" w14:paraId="727D374B" w14:textId="77777777" w:rsidTr="00BB1020">
        <w:trPr>
          <w:trHeight w:hRule="exact" w:val="482"/>
        </w:trPr>
        <w:tc>
          <w:tcPr>
            <w:tcW w:w="828" w:type="dxa"/>
            <w:vAlign w:val="center"/>
          </w:tcPr>
          <w:p w14:paraId="2C665AE6" w14:textId="77777777" w:rsidR="00BE368C" w:rsidRDefault="00FC0949">
            <w:pPr>
              <w:jc w:val="center"/>
              <w:rPr>
                <w:sz w:val="24"/>
              </w:rPr>
            </w:pPr>
            <w:r>
              <w:rPr>
                <w:rFonts w:hint="eastAsia"/>
                <w:sz w:val="24"/>
              </w:rPr>
              <w:t>姓</w:t>
            </w:r>
            <w:r>
              <w:rPr>
                <w:rFonts w:hint="eastAsia"/>
                <w:sz w:val="24"/>
              </w:rPr>
              <w:t xml:space="preserve"> </w:t>
            </w:r>
            <w:r>
              <w:rPr>
                <w:rFonts w:hint="eastAsia"/>
                <w:sz w:val="24"/>
              </w:rPr>
              <w:t>名</w:t>
            </w:r>
          </w:p>
        </w:tc>
        <w:tc>
          <w:tcPr>
            <w:tcW w:w="1368" w:type="dxa"/>
            <w:vAlign w:val="center"/>
          </w:tcPr>
          <w:p w14:paraId="6DBA057D" w14:textId="2D134FF9" w:rsidR="00BE368C" w:rsidRDefault="00BE368C">
            <w:pPr>
              <w:jc w:val="center"/>
              <w:rPr>
                <w:sz w:val="24"/>
              </w:rPr>
            </w:pPr>
          </w:p>
        </w:tc>
        <w:tc>
          <w:tcPr>
            <w:tcW w:w="1052" w:type="dxa"/>
            <w:gridSpan w:val="2"/>
            <w:vAlign w:val="center"/>
          </w:tcPr>
          <w:p w14:paraId="147187BF" w14:textId="77777777" w:rsidR="00BE368C" w:rsidRDefault="00FC0949">
            <w:pPr>
              <w:jc w:val="center"/>
              <w:rPr>
                <w:sz w:val="24"/>
              </w:rPr>
            </w:pPr>
            <w:r>
              <w:rPr>
                <w:rFonts w:hint="eastAsia"/>
                <w:sz w:val="24"/>
              </w:rPr>
              <w:t>学</w:t>
            </w:r>
            <w:r>
              <w:rPr>
                <w:rFonts w:hint="eastAsia"/>
                <w:sz w:val="24"/>
              </w:rPr>
              <w:t xml:space="preserve"> </w:t>
            </w:r>
            <w:r>
              <w:rPr>
                <w:rFonts w:hint="eastAsia"/>
                <w:sz w:val="24"/>
              </w:rPr>
              <w:t>号</w:t>
            </w:r>
          </w:p>
        </w:tc>
        <w:tc>
          <w:tcPr>
            <w:tcW w:w="1679" w:type="dxa"/>
            <w:gridSpan w:val="2"/>
            <w:vAlign w:val="center"/>
          </w:tcPr>
          <w:p w14:paraId="62715D43" w14:textId="58EFBE46" w:rsidR="00BE368C" w:rsidRDefault="00BE368C">
            <w:pPr>
              <w:rPr>
                <w:sz w:val="24"/>
              </w:rPr>
            </w:pPr>
          </w:p>
        </w:tc>
        <w:tc>
          <w:tcPr>
            <w:tcW w:w="1211" w:type="dxa"/>
            <w:vAlign w:val="center"/>
          </w:tcPr>
          <w:p w14:paraId="3213B9FE" w14:textId="77777777" w:rsidR="00BE368C" w:rsidRDefault="00FC0949">
            <w:pPr>
              <w:jc w:val="center"/>
              <w:rPr>
                <w:sz w:val="24"/>
              </w:rPr>
            </w:pPr>
            <w:r>
              <w:rPr>
                <w:rFonts w:hint="eastAsia"/>
                <w:sz w:val="24"/>
              </w:rPr>
              <w:t>报告日期</w:t>
            </w:r>
          </w:p>
        </w:tc>
        <w:tc>
          <w:tcPr>
            <w:tcW w:w="2384" w:type="dxa"/>
            <w:vAlign w:val="center"/>
          </w:tcPr>
          <w:p w14:paraId="39D31945" w14:textId="006373D4" w:rsidR="00BE368C" w:rsidRDefault="00BE368C">
            <w:pPr>
              <w:rPr>
                <w:color w:val="FF0000"/>
                <w:sz w:val="24"/>
              </w:rPr>
            </w:pPr>
          </w:p>
        </w:tc>
      </w:tr>
      <w:tr w:rsidR="00BE368C" w14:paraId="6C56A176" w14:textId="77777777" w:rsidTr="00C52B50">
        <w:trPr>
          <w:trHeight w:hRule="exact" w:val="482"/>
        </w:trPr>
        <w:tc>
          <w:tcPr>
            <w:tcW w:w="2689" w:type="dxa"/>
            <w:gridSpan w:val="3"/>
            <w:vAlign w:val="center"/>
          </w:tcPr>
          <w:p w14:paraId="48BF202C" w14:textId="77777777" w:rsidR="00BE368C" w:rsidRDefault="00FC0949">
            <w:pPr>
              <w:jc w:val="center"/>
              <w:rPr>
                <w:sz w:val="24"/>
              </w:rPr>
            </w:pPr>
            <w:r>
              <w:rPr>
                <w:rFonts w:hint="eastAsia"/>
                <w:sz w:val="24"/>
              </w:rPr>
              <w:t>论文（设计）题目</w:t>
            </w:r>
          </w:p>
        </w:tc>
        <w:tc>
          <w:tcPr>
            <w:tcW w:w="5833" w:type="dxa"/>
            <w:gridSpan w:val="5"/>
            <w:vAlign w:val="center"/>
          </w:tcPr>
          <w:p w14:paraId="67420F6C" w14:textId="10562601" w:rsidR="00BE368C" w:rsidRDefault="00FC0949">
            <w:pPr>
              <w:rPr>
                <w:rFonts w:cs="宋体"/>
                <w:color w:val="FF0000"/>
                <w:sz w:val="24"/>
              </w:rPr>
            </w:pPr>
            <w:r>
              <w:rPr>
                <w:rFonts w:cs="宋体" w:hint="eastAsia"/>
                <w:sz w:val="24"/>
              </w:rPr>
              <w:t xml:space="preserve">  </w:t>
            </w:r>
            <w:r w:rsidR="00A65D04">
              <w:rPr>
                <w:rFonts w:cs="宋体" w:hint="eastAsia"/>
                <w:sz w:val="24"/>
              </w:rPr>
              <w:t xml:space="preserve">当前我国公民法律意识的现状及成因分析</w:t>
            </w:r>
          </w:p>
        </w:tc>
      </w:tr>
      <w:tr w:rsidR="00BE368C" w14:paraId="1A38B506" w14:textId="77777777" w:rsidTr="00C52B50">
        <w:trPr>
          <w:trHeight w:hRule="exact" w:val="482"/>
        </w:trPr>
        <w:tc>
          <w:tcPr>
            <w:tcW w:w="2689" w:type="dxa"/>
            <w:gridSpan w:val="3"/>
            <w:vAlign w:val="center"/>
          </w:tcPr>
          <w:p w14:paraId="527D160A" w14:textId="77777777" w:rsidR="00BE368C" w:rsidRDefault="00FC0949">
            <w:pPr>
              <w:jc w:val="center"/>
              <w:rPr>
                <w:sz w:val="24"/>
              </w:rPr>
            </w:pPr>
            <w:r>
              <w:rPr>
                <w:rFonts w:hint="eastAsia"/>
                <w:sz w:val="24"/>
              </w:rPr>
              <w:t>指导教师</w:t>
            </w:r>
          </w:p>
        </w:tc>
        <w:tc>
          <w:tcPr>
            <w:tcW w:w="5833" w:type="dxa"/>
            <w:gridSpan w:val="5"/>
            <w:vAlign w:val="center"/>
          </w:tcPr>
          <w:p w14:paraId="23C3664F" w14:textId="53FCBA45" w:rsidR="00BE368C" w:rsidRDefault="00BE368C">
            <w:pPr>
              <w:ind w:firstLineChars="100" w:firstLine="240"/>
              <w:rPr>
                <w:sz w:val="24"/>
              </w:rPr>
            </w:pPr>
          </w:p>
        </w:tc>
      </w:tr>
      <w:tr w:rsidR="00BE368C" w14:paraId="0F06FA8C" w14:textId="77777777" w:rsidTr="00C52B50">
        <w:trPr>
          <w:trHeight w:hRule="exact" w:val="482"/>
        </w:trPr>
        <w:tc>
          <w:tcPr>
            <w:tcW w:w="2689" w:type="dxa"/>
            <w:gridSpan w:val="3"/>
            <w:vAlign w:val="center"/>
          </w:tcPr>
          <w:p w14:paraId="0C85763C" w14:textId="77777777" w:rsidR="00BE368C" w:rsidRDefault="00FC0949">
            <w:pPr>
              <w:jc w:val="center"/>
              <w:rPr>
                <w:sz w:val="24"/>
              </w:rPr>
            </w:pPr>
            <w:r>
              <w:rPr>
                <w:rFonts w:hint="eastAsia"/>
                <w:sz w:val="24"/>
              </w:rPr>
              <w:t>论文（设计）起止时间</w:t>
            </w:r>
          </w:p>
        </w:tc>
        <w:tc>
          <w:tcPr>
            <w:tcW w:w="5833" w:type="dxa"/>
            <w:gridSpan w:val="5"/>
            <w:vAlign w:val="center"/>
          </w:tcPr>
          <w:p w14:paraId="7715811C" w14:textId="2182D4F7" w:rsidR="00BE368C" w:rsidRPr="00C52B50" w:rsidRDefault="00BE368C">
            <w:pPr>
              <w:ind w:firstLineChars="100" w:firstLine="240"/>
              <w:rPr>
                <w:color w:val="FF0000"/>
                <w:sz w:val="24"/>
              </w:rPr>
            </w:pPr>
          </w:p>
        </w:tc>
      </w:tr>
      <w:tr w:rsidR="00BE368C" w14:paraId="3106C021" w14:textId="77777777" w:rsidTr="00BB1020">
        <w:trPr>
          <w:trHeight w:val="7952"/>
        </w:trPr>
        <w:tc>
          <w:tcPr>
            <w:tcW w:w="8522" w:type="dxa"/>
            <w:gridSpan w:val="8"/>
            <w:vAlign w:val="center"/>
          </w:tcPr>
          <w:p w14:paraId="4119AF13" w14:textId="4408A3D4" w:rsidR="008F4645" w:rsidRDefault="008F4645" w:rsidP="00F50E4F">
            <w:pPr>
              <w:pStyle w:val="a8"/>
              <w:shd w:val="clear" w:color="auto" w:fill="FFFFFF"/>
              <w:spacing w:before="0" w:beforeAutospacing="0" w:after="0" w:afterAutospacing="0" w:line="360" w:lineRule="auto"/>
              <w:ind w:firstLineChars="200" w:firstLine="420"/>
              <w:rPr>
                <w:color w:val="000000"/>
                <w:sz w:val="21"/>
              </w:rPr>
            </w:pPr>
            <w:r w:rsidRPr="00382A8F">
              <w:rPr>
                <w:color w:val="000000"/>
                <w:sz w:val="21"/>
              </w:rPr>
              <w:t xml:space="preserve"/>
            </w:r>
            <w:r w:rsidR="00C230CA" w:rsidRPr="00C230CA">
              <w:rPr>
                <w:color w:val="000000"/>
                <w:sz w:val="21"/>
              </w:rPr>
              <w:t xml:space="preserve"/>
            </w:r>
            <w:r w:rsidR="00BB1020">
              <w:rPr>
                <w:rFonts w:hint="eastAsia"/>
                <w:color w:val="000000"/>
                <w:sz w:val="21"/>
              </w:rPr>
              <w:t xml:space="preserve">1 选题依据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1.1 研究背景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法律意识是指公民对法律的认知、理解及其在日常生活中的运用程度，这不仅关乎个人的法律权益，也涉及社会的法治建设与发展。在我国，随着社会经济的快速发展和法制建设的逐步完善，公民法律意识的重要性日益凸显。然而，研究表明，我国公民的法律意识在不同地区、不同社会群体之间存在较大差异，法律知识的普及程度也尚显不足。</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我国经济转型和社会变革的背景下，公民法律意识的现状不仅影响到个人的合法权益保障，也对社会的稳定与和谐发展产生深远影响。根据一些相关研究，尽管法律法规不断完善，但在公众日常生活中，法律意识的淡薄仍然是一个亟待解决的问题。法律意识的缺失还可能导致一些社会问题的产生，比如违法犯罪、社会矛盾等，因此，对公民法律意识的研究具有重要的理论和现实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过去的研究中，学者们普遍关注法律知识的传播与教育途径，但对公民法律意识现状及其成因的系统分析相对较少。现有文献主要集中在特定群体或地区，缺乏全面的实证研究。因此，开展对我国公民法律意识现状的深化研究，以及探讨其影响因素，将有助于填补这一研究空白，并为相关政策的制定提供科学依据。本研究旨在通过调查与分析，整理出我国公民法律意识的现状，并深入剖析其成因，为提升全社会法律意识提供参考。</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1.2 研究目的</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当今社会，法律意识已成为公民社会文明程度的重要标志，直接影响到社会治理、法治建设以及公民的合法权益保护。然而，尽管我国在法治宣传与法律教育方面做了大量工作，公民的法律意识水平依然参差不齐，存在诸多不足之处。例如，部分公民对法律法规的了解有限，对自身权益的保护意识淡薄，法律维权手段的不当使用或无效使用现象时有发生。这些问题的存在不仅影响了社会和谐，也使得多元法治建设的目标难以实现。因此，深入分析当前我国公民法律意识的现状，并探讨其成因，对于推动法治教育的针对性和有效性具有重要的理论和现实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全面分析当前我国公民法律意识的现状及其成因。具体目标包括：通过文献综述，梳理已有的研究成果，识别和填补相关领域的研究空白；通过问卷调查和深度访谈等方法，获取公民法律意识的相关数据，从而直观呈现公民在法律意识方面的认知程度及其变化趋势；分析影响公民法律意识的内外部因素，包括教育背景、社会环境、法律宣传等，力求提出有效的改进对策与建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本研究期待通过实证分析，提供对 policymakers 和法律教育者有价值的见解，帮助他们在实际工作中更好地提升公民的法律素养，推动法治社会建设，从而为实现全面依法治国的战略目标贡献力量。</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1.3 研究意义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当前，我国正处于法制化进程加速的阶段，公民法律意识的提升已成为实现法治社会、促进社会和谐的重要基础。研究我国公民法律意识的现状及成因，不仅具有重要的学术价值，还对社会实践具有深远的意义。</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明确公民法律意识的现状能够帮助政府决策者识别公众对法律知识的掌握程度和法律意识的普遍水平。这对于制定更有效的法律宣传及教育策略，提升公民的法律素养具有重要的参考价值。</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深入分析公民法律意识的成因，有助于全面了解影响法律意识的各种因素，例如教育背景、社会环境、媒体影响等，这些因素对公众法律观念的形成与变化起着关键作用。通过识别这些成因，可以为相关部门在法律教育和培训的过程中，提供更加精准的针对性措施，从而有效提升公民的法律意识。</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公民法律意识的现状与成因，还能够为学术界提供新的研究视角。虽然已有一些研究探讨了法律意识的相关问题，但在具体的社会文化背景下，尤其是中国特有的社会环境和历史背景下，相关研究仍显不足。通过本研究，我希望能够填补这一研究空白，并为今后的深入研究奠定新的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提升公民的法律意识对于维护社会稳定和促进法治建设至关重要。法律意识的增强有助于公民更好地运用法律维护自身权益，减少社会矛盾和纠纷，从而为建设一个更加和谐美好的社会贡献力量。因此，深入探讨和分析我国公民法律意识的现状及其成因，既具有理论研究的学术意义，也对社会实践的实际应用具有重要的指导价值。</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2.1 国内研究现状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近年来，随着我国法治建设的不断推进，公民法律意识的研究逐渐受到学术界的重视。国内学者从多个角度对公民法律意识展开了广泛的研究，形成了一定的理论框架和实证基础。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从法律教育和法律传播的角度来看，许多研究表明，法律知识的普及程度直接影响着公民的法律意识。相关文献分析了各类法律教育活动的效果，如学校法治教育、社区法律宣传等，结果显示这些活动在提高公民法律意识方面发挥了重要作用。然而，仍有研究指出，现有的法律教育形式相对单一，缺乏针对性和实践性，未能有效促进公民法律意识的全面提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公民法律行为的实证研究方面，有学者通过调查问卷和实地访谈等方法，分析了公民在日常生活中对法律的认知、态度和行为。一些研究发现，虽然公众对法律的基本观念有所了解，但在面对具体法律问题时，往表现出较低的法律应用能力和维权意识。这些研究揭示了公民法律意识在认知与实践之间的鸿沟，呼吁加强法律知识的实践性教育。</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者们还关注到了社会文化、经济因素对公民法律意识的影响。有论者指出，传统文化中对于权利和义务的模糊认识，以及经济发展导致的社会分层，都是造成公民法律意识不足的重要原因。这类研究不仅提示我们，在提升法律意识的同时，也需关注其背后的社会结构和文化根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当前国内关于公民法律意识的研究已初具规模，但在深度和广度上仍有待进一步探索。比如，关于特定群体（如青少年、农村居民、老年人）的法律意识研究仍显不足。关于法律意识的动态变化、政策引导与法律意识提升之间的关系等方面的研究亦有待加强。未来的研究可以探索更为多元的视角，结合社会科学和法学的交叉，提出切实可行的对策和建议，以促进我国公民法律意识的全面提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2.2 国外研究现状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国外对公民法律意识的研究起步较早，涉及的领域广泛，包括法律教育、法律文化、社会心理等多个维度。在法治国家的背景下，公民法律意识的高低不仅影响个人的法律行为，还对社会的法治环境和社会秩序产生深远影响。</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美国，许多研究集中于法律意识与公民参与之间的关系。研究者普遍认为，加强公民的法律教育能够有效提升公众对法律的认知，从而增强参与公共事务的积极性。例如，一些学者通过实证研究发现，接受过法律培训的公民，在参与选举和公共讨论时表现出更高的参与度和更强的责任感。还有大量关于法律意识与社会公正、法治信仰之间关系的研究，表明公民的法律意识与其对社会公正的理解密切相关，这在一定程度上影响着他们对法律的遵从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欧洲，尤其是北欧国家，公民法律意识的研究更加注重法律文化的形成与发展。一些学者研究了法律在社会文化中的传播方式，认为文化因素在塑造公民法律意识方面起着关键作用。这些研究强调了社会信任对法律遵从的影响，指出在高信任度的社会中，公民更倾向于遵循法律规章。</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其他国家的研究也显示出不同的特点。例如，在一些发展中国家，法律意识的提高往受到教育水平、经济发展及社会稳定性的影响。一些学者探讨了非正式法律机制在公民法律意识形成过程中的作用，认为传统文化和习俗在某些情况下能够弥补正式法律制度的不足。</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总的来看，国外对公民法律意识的研究已经构建了一定的理论框架，并通过实证研究揭示了多种影响因素。然而，这一领域仍存在一些研究空白，如对特定群体（如青年人、女性、少数民族等）法律意识的影响因素缺乏深入分析。因此，在未来的研究中，可以结合我国的特定社会背景，借鉴国外的研究方法，探索我国公民法律意识的相关问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主要研究内容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3.1 研究目标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本研究旨在深入分析当前我国公民法律意识的现状及其成因，以揭示影响法律意识形成的重要因素。具体目标包括：</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*现状评估*：通过问卷调查和个案访谈等方法，对我国公民法律意识的普遍状况进行评估，包括法律知识的掌握程度、法律意识的形态及其影响行为等方面。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*成因分析*：探讨影响公民法律意识的重要因素，如教育背景、社会经济状况、文化传统、媒体宣传及法律制度等，识别这些因素如何共同作用于公民法律意识的形成与发展。</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*对比研究*：在国内不同地区、不同社会群体之间进行对比，考察法律意识的差异性，从中提炼出区域性和群体性特征，以期为法律宣传和教育提供参考依据。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*政策建议*：基于对现状和成因的深入分析，提出促进公民法律意识提升的策略与建议，为政府及相关机构在法律教育、宣传和制度建设方面提供可行的依据。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*理论创新*：在已有研究基础上，尝试构建公民法律意识形成的综合性理论框架，推动相关研究的进一步发展。</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本研究将以定量与定性相结合的方式，全面剖析我国公民法律意识的现状及其成因，为提升公民法律意识和完善相关法律政策提供实证支持与理论指导。</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3.2 研究内容</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本研究将围绕我国公民法律意识的现状及其成因展开，具体研究内容包括以下几个方面：</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*公民法律意识的现状分析*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对近年来相关文献和实证数据的综合整理，对我国公民法律意识的现状进行深入分析。重点探讨公民对法律知识的掌握程度、法律观念的形成及其在日常生活中的应用情况。将通过问卷调查和访谈等方式获取一手数据，力求揭示出各个社会群体（如不同年龄、职业、教育背景等）在法律意识方面的差异。</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*法律意识影响因素的探讨*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现状分析的基础上，本研究将重点关注影响公民法律意识的多种因素，包括但不限于教育水平、社会经济地位、信息获取渠道及社会文化环境等。借助文献综述和实证研究方法，针对这些因素与公民法律意识之间的关系进行量化分析，旨在揭示出影响法律意识的主要变量及其相互作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*案例分析*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将选取若干典型案例，分析不同情境下公民法律意识的表现及其对法律行为的影响。这些案例将包括民事纠纷、行政诉讼等，通过对具体事件的解读，探索法律意识缺失或不足的成因，以及改善措施的可行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*政策建议*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根据前述研究结果，提出增强公民法律意识的政策建议。结合国内外先进经验，探讨如何通过教育、社区宣传及法律服务等多种途径提升公民法律知识和法律素养，以期为政策制定者和相关机构提供参考依据。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*总结与展望*</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在研究的最后部分，将对所得结果进行系统总结，并展望未来法律意识研究的发展方向。提出本研究的局限性及后续研究的建议，鼓励更大范围内的公共参与和跨学科的合作，以促进全社会法律意识的提升。</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通过以上研究内容的深入探讨，本研究希望能够加深对我国公民法律意识现状的理解，揭示影响因素，为提升法律意识的实践提供理论支持与政策指导。</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3.3 关键问题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在对我国公民法律意识现状及成因进行分析的过程中，本文将围绕以下几个关键问题展开深入探讨：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1. *法律意识的内涵与外延*：需要明确什么是法律意识，其在公民社会中的作用及影响。通过文献综述，分析法律意识的不同维度，包括法律认知、法律态度和法律行为等方面，界定公民法律意识的基本框架。</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2. *公民法律意识的现状*：通过相关数据和案例分析，评估我国公民的法律意识水平。重点探讨不同年龄、职业、地域的公民在法律意识上的差异，以识别出法律意识普遍存在的不足之处和相对优势。</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3. *法律意识不足的成因分析*：在理解法律意识现状的基础上，将探讨其不足的深层次原因，包括教育体系的影响、法律信息的获取难度、社会文化传统以及法律制度的完善程度等因素。同时，考虑到经济发展和政策导向对公民法律意识的推动作用。</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如何提升公民法律意识*：针对现状与成因提出相应的对策建议，探讨不同层面（如学校、家庭、社会组织等）如何通过教育和宣传活动提升公民的法律意识。尤其关注如何在青少年中培养良好的法律意识，为长远的法律文化建设奠定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*相关政策与制度分析*：将对现行法律和政策对公民法律意识培养的支持力度进行分析，提出改进与完善的方向，以期为政策制定者提供参考依据。</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本研究将通过文献回顾、问卷调查、访谈等方法，力求在已有理论与实践基础上，创新性地提出改善我国公民法律意识的可行方案。</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4 研究方法</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本研究旨在探讨当前我国公民法律意识的现状及其成因分析，因此选用多种研究方法相结合的方式，以确保研究的全面性和准确性。</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文献综述将作为研究的重要基础。我们将系统查阅近年来有关公民法律意识的相关文献，涵盖学术论文、法律报告、政府白皮书及社会调查报告等。这一过程将帮助我们识别目前研究领域的现状和不足，明确已有研究的结论与不足之处，从而为我们后续的实证研究提供理论支持和背景信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问卷调查的方式收集一手数据。我们将设计一套针对不同社会群体（如大学生、青年职工、中老年人等）的问卷，旨在探究受访者在法律意识上的认知程度、法律知识的来源，以及其法律意识培养的相关因素。问卷将包括选择题和开放性问题，以便获取定量数据与定性反馈，为后续分析提供多维度的信息。</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为了获得更深层次的见解，本研究还计划进行深度访谈。访谈对象将包括法律专家、社会工作者和普通公民，访谈重点围绕他们对当前法律意识现状的认知、培养法律意识的途径及成因等进行讨论。这种方法将使我们从不同角度理解法律意识在社会中的表现，同时也有助于发现问卷调查中未涉及的问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运用定量和定性分析的混合模式，对收集到的数据进行分析。定量部分将采用统计工具分析问卷结果，探讨不同因素对公民法律意识的影响，定性部分则通过对访谈内容的编码与主题分析，挖掘更深层次的结构性因素。综合这两部分的分析结果，我们希望能够全面阐述我国公民法律意识的现状，并深入剖析其成因。</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通过上述研究方法的运用，期待揭示公民法律意识的关键问题和发展瓶颈，提出切实可行的改进建议，为提升我国公民法律意识贡献新的思路和见解。</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5 可行性分析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在探讨我国公民法律意识的现状及其成因时，开展本研究具备较高的可行性。这部分将从研究基础、数据获取、分析方法及研究环境等方面进行详细分析。</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已有大量关于公民法律意识相关的文献资料。这些文献不仅涵盖了法律意识的定义与构成要素，更深入探讨了影响其形成的社会、文化及经济因素。通过对现有文献的整理与分析，我们能够清晰地识别出当前研究的热点和空白点，为本研究提供坚实的理论基础。</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关于公民法律意识的调查数据可以通过多种渠道获取，包括问卷调查、访谈、以及对相关政策的实证分析。利用互联网和社交媒体本身的便捷性，本研究将能够覆盖广泛的样本群体，从而确保数据的代表性与可靠性。同时，借助专业的调查工具和平台，确保数据收集的效率及准确度。</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在分析方法方面，本研究将应用定量与定性相结合的研究方法。通过定量分析，能够客观展示公民法律意识的现状，并通过统计学方法分析影响其成因的主要因素；而定性的案例分析，则能深入了解某些特殊现象或个体经历，从而为量化结果提供更多的背景信息和解释。此种方法的结合，有助于在不同层面深入探讨法律意识的问题。</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研究环境方面，随着法律教育的普及和法治宣传的加强，公众对法律的关注度日益提升，社会各界对公民法律意识的重视为本研究创造了良好的外部环境。同时，各大高校与研究机构的支持也为数据收集和理论研究提供了保障。</w:t>
            </w:r>
            <w:r w:rsidR="00C230CA" w:rsidRPr="00C230CA">
              <w:rPr>
                <w:color w:val="000000"/>
                <w:sz w:val="21"/>
              </w:rPr>
              <w:t xml:space="preserve"/>
            </w:r>
          </w:p>
          <w:p w14:paraId="28E9EBC5" w14:textId="35C9394C" w:rsidR="00BE368C" w:rsidRPr="00F50E4F" w:rsidRDefault="005F595F" w:rsidP="00F50E4F">
            <w:pPr>
              <w:pStyle w:val="a8"/>
              <w:shd w:val="clear" w:color="auto" w:fill="FFFFFF"/>
              <w:spacing w:before="0" w:beforeAutospacing="0" w:after="0" w:afterAutospacing="0" w:line="360" w:lineRule="auto"/>
              <w:ind w:firstLineChars="200" w:firstLine="420"/>
              <w:rPr>
                <w:color w:val="000000"/>
                <w:sz w:val="21"/>
              </w:rPr>
            </w:pPr>
            <w:r>
              <w:rPr>
                <w:color w:val="000000"/>
                <w:sz w:val="21"/>
              </w:rPr>
              <w:t xml:space="preserve"/>
            </w:r>
            <w:r w:rsidR="00BB1020">
              <w:rPr>
                <w:rFonts w:hint="eastAsia"/>
                <w:color w:val="000000"/>
                <w:sz w:val="21"/>
              </w:rPr>
              <w:t xml:space="preserve">综合上述分析，本研究不仅在理论上有充足的依据，在数据获取与分析方法上也具备很强的可行性，能够科学、系统地揭示我国公民法律意识的现状及其成因，为后续的法律教育和政策制定提供有价值的参考。</w:t>
            </w:r>
          </w:p>
        </w:tc>
      </w:tr>
      <w:tr w:rsidR="00314208" w14:paraId="6A91F933" w14:textId="77777777" w:rsidTr="00BB1020">
        <w:tc>
          <w:tcPr>
            <w:tcW w:w="8522" w:type="dxa"/>
            <w:gridSpan w:val="8"/>
            <w:vAlign w:val="center"/>
          </w:tcPr>
          <w:p w14:paraId="1A6521FA" w14:textId="76DC6445" w:rsidR="00314208" w:rsidRDefault="00314208" w:rsidP="00314208">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完成措施及进度安排</w:t>
            </w:r>
          </w:p>
          <w:p w14:paraId="0F930BFE" w14:textId="7007092F" w:rsidR="00314208" w:rsidRPr="00314208" w:rsidRDefault="00314208" w:rsidP="00314208">
            <w:pPr>
              <w:rPr>
                <w:rFonts w:ascii="宋体" w:hAnsi="宋体" w:cs="宋体"/>
                <w:color w:val="000000"/>
              </w:rPr>
            </w:pPr>
            <w:r w:rsidRPr="00314208">
              <w:rPr>
                <w:rFonts w:ascii="宋体" w:hAnsi="宋体" w:cs="宋体"/>
                <w:color w:val="000000"/>
              </w:rPr>
              <w:t xml:space="preserve">20xx.12.18-20xx.12.27 确定选题;</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20xx.12.27-20xx.2.28 根据任务书，查阅文献资料，学习理论知识;</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20xx.3.1-20xx.3.4 完成开题报告;</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20xx.3.4-20xx.4.4 完成完成开发平台的搭建，初步开发;</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20xx.4.5-20xx.4.9 完成中期检查;</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20xx.4.9-20xx.4.24 完成整个系统设计;</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20xx.4.25-20xx.5.3 撰写论文;</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20xx.5.4-20xx.5.11 完成论文，提交指导老师、评阅老师审阅;</w:t>
            </w:r>
          </w:p>
          <w:p w14:paraId="5EADEACE" w14:textId="3421FFE6" w:rsidR="00314208" w:rsidRDefault="00314208" w:rsidP="00314208">
            <w:pPr>
              <w:rPr>
                <w:rFonts w:ascii="宋体" w:hAnsi="宋体" w:cs="宋体"/>
                <w:color w:val="000000"/>
              </w:rPr>
            </w:pPr>
            <w:r w:rsidRPr="00314208">
              <w:rPr>
                <w:rFonts w:ascii="宋体" w:hAnsi="宋体" w:cs="宋体"/>
                <w:color w:val="000000"/>
              </w:rPr>
              <w:t xml:space="preserve">20xx.5.17-20xx.5.23 完成论文答辩。</w:t>
            </w:r>
          </w:p>
          <w:p w14:paraId="6FF1C4FB" w14:textId="16D4474E" w:rsidR="00314208" w:rsidRDefault="00314208">
            <w:pPr>
              <w:rPr>
                <w:b/>
                <w:sz w:val="24"/>
              </w:rPr>
            </w:pPr>
          </w:p>
          <w:p w14:paraId="3347F515" w14:textId="19AF2A2D" w:rsidR="00314208" w:rsidRDefault="00314208">
            <w:pPr>
              <w:rPr>
                <w:b/>
                <w:sz w:val="24"/>
              </w:rPr>
            </w:pPr>
          </w:p>
        </w:tc>
      </w:tr>
      <w:tr w:rsidR="004E5CCE" w14:paraId="5146770B" w14:textId="77777777" w:rsidTr="00BB1020">
        <w:tc>
          <w:tcPr>
            <w:tcW w:w="8522" w:type="dxa"/>
            <w:gridSpan w:val="8"/>
            <w:vAlign w:val="center"/>
          </w:tcPr>
          <w:p w14:paraId="11F2BE51" w14:textId="3C69084C" w:rsidR="004E5CCE" w:rsidRDefault="004E5CCE" w:rsidP="004E5CCE">
            <w:pPr>
              <w:spacing w:beforeLines="50" w:before="156" w:afterLines="50" w:after="156" w:line="280" w:lineRule="atLeast"/>
              <w:rPr>
                <w:rFonts w:ascii="华文中宋" w:eastAsia="华文中宋" w:hAnsi="华文中宋" w:cs="华文中宋"/>
                <w:color w:val="000000"/>
                <w:sz w:val="28"/>
              </w:rPr>
            </w:pPr>
            <w:r>
              <w:rPr>
                <w:rFonts w:ascii="华文中宋" w:eastAsia="华文中宋" w:hAnsi="华文中宋" w:cs="华文中宋" w:hint="eastAsia"/>
                <w:color w:val="000000"/>
                <w:sz w:val="28"/>
              </w:rPr>
              <w:t xml:space="preserve">主要参考文献</w:t>
            </w:r>
          </w:p>
          <w:p w14:paraId="0C3CB434" w14:textId="7DB9EB47" w:rsidR="004E5CCE" w:rsidRPr="00314208" w:rsidRDefault="004E5CCE" w:rsidP="004E5CCE">
            <w:pPr>
              <w:rPr>
                <w:rFonts w:ascii="宋体" w:hAnsi="宋体" w:cs="宋体"/>
                <w:color w:val="000000"/>
              </w:rPr>
            </w:pPr>
            <w:r w:rsidRPr="00314208">
              <w:rPr>
                <w:rFonts w:ascii="宋体" w:hAnsi="宋体" w:cs="宋体"/>
                <w:color w:val="000000"/>
              </w:rPr>
              <w:t xml:space="preserve">[1]徐铭.当前我国民宿发展的现状及存在问题分析[J].农业与技术,2021,41(07):160-162.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[2]董鹏鹏,李香钻.当前我国党政秘书腐败的特征、成因与治理路径[J].行政科学论坛,2021,8(04):36-41.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[3]王玉锁.当前我国的土壤污染现状及防治措施[J].资源节约与环保,2021,(02):81-82.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[4]陈婉.当前我国高校美术教育现状及其对策研究[J].大观,2021,(01):137-138.</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[5]梁知.我国可转债溢价成因分析[D].导师：蒋崇辉.江西财经大学,2021.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[6]王翊君.大学生法律意识现状及培养途径[J].大学教育,2021,(12):143-145+155.</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[7]费淑娟.浅析当前我国农村经济发展的现状及对策[J].新农业,2021,(06):81.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[8]王维东.我国当前土壤污染的现状及法律政策防治之道[J].现代农业研究,2021,27(05):38-39.</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[9]董鹏鹏,岑大利.当前我国党政一把手监督的困境及其成因与对策[J].领导科学,2021,(03):11-14.</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[10]上官翔飞,丁火明.当前我国高层建筑消防安全管理现状及优化建议[J].今日消防,2022,7(06):46-48.</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[11]赵郑惊,许光中.安徽省当前城镇贫困人口的成因分析[J].农村经济与科技,2021,32(02):171-172.</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[12]武猛.我国刑事错案特点分析和成因研究[J].电脑与信息技术,2022,30(04):75-78.</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[13]孙晓菲.论当前我国水工环的现状及实现水工环地质新突破的办法[J].世界有色金属,2021,(03):164-165.</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[14]黄卫斌.当前我国消费市场形势及问题分析[J].商业文化,2022,(15):24-25.</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[15]陈星池,吴晓尉.当前针对我国APT攻击形势分析与防范[J].网络安全技术与应用,2022,(12):1-3.</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[16]夏雅涵,王思钰,周容正.我国服装行业存货管理问题成因分析[J].国际商务财会,2023,(23):44-48.</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[17]曹秋菊,唐新明.我国工业产能过剩的区域差异及成因分析[J].经济地理,2021,41(12):132-141.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[18]王宇,陆炜睿,张雅轩,吴丛.大学生“差不多”文化现状及成因分析[J].作家天地,2021,(24):133-134.</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[19]Xiong Wei,Mei Xi,Mi Bei-bei,Yang Hao,Han Zong-zhu,Zhang Yong,Lü Wen-chao.Current status and cause analysis of microplastic pollution in sea areas in China[J].China Geology,2022,5(1):</w:t>
            </w:r>
          </w:p>
          <w:p w14:paraId="0FD9F0D5" w14:textId="77777777" w:rsidR="004E5CCE" w:rsidRDefault="004E5CCE" w:rsidP="004E5CCE">
            <w:pPr>
              <w:rPr>
                <w:rFonts w:ascii="宋体" w:hAnsi="宋体" w:cs="宋体"/>
                <w:color w:val="000000"/>
              </w:rPr>
            </w:pPr>
            <w:r w:rsidRPr="00314208">
              <w:rPr>
                <w:rFonts w:ascii="宋体" w:hAnsi="宋体" w:cs="宋体"/>
                <w:color w:val="000000"/>
              </w:rPr>
              <w:t xml:space="preserve">[20]Weiguo Li,Xiumei Wang,Lexiao Li,Xiaoying Zhong.The Current Development Status and Problems Analysis of Intelligent Manufacturing in China[J].Manufacturing and Service Operations Management,2023,4(5):</w:t>
            </w:r>
          </w:p>
          <w:p w14:paraId="150EEF35" w14:textId="37ACBDA2" w:rsidR="004E5CCE" w:rsidRDefault="004E5CCE">
            <w:pPr>
              <w:rPr>
                <w:b/>
                <w:sz w:val="24"/>
              </w:rPr>
            </w:pPr>
          </w:p>
          <w:p w14:paraId="3BFC188C" w14:textId="6A1A7BDE" w:rsidR="004E5CCE" w:rsidRDefault="004E5CCE">
            <w:pPr>
              <w:rPr>
                <w:b/>
                <w:sz w:val="24"/>
              </w:rPr>
            </w:pPr>
          </w:p>
        </w:tc>
      </w:tr>
      <w:tr w:rsidR="00BE368C" w14:paraId="4B4C3063" w14:textId="77777777" w:rsidTr="00BB1020">
        <w:tc>
          <w:tcPr>
            <w:tcW w:w="8522" w:type="dxa"/>
            <w:gridSpan w:val="8"/>
            <w:vAlign w:val="center"/>
          </w:tcPr>
          <w:p w14:paraId="2FDE54C4" w14:textId="699F826F" w:rsidR="00BE368C" w:rsidRDefault="00FC0949">
            <w:pPr>
              <w:rPr>
                <w:b/>
                <w:sz w:val="24"/>
              </w:rPr>
            </w:pPr>
            <w:r>
              <w:rPr>
                <w:rFonts w:hint="eastAsia"/>
                <w:b/>
                <w:sz w:val="24"/>
              </w:rPr>
              <w:t>指导教师意见</w:t>
            </w:r>
          </w:p>
          <w:p w14:paraId="226C6C4F" w14:textId="77777777" w:rsidR="00BE368C" w:rsidRDefault="00BE368C">
            <w:pPr>
              <w:spacing w:line="360" w:lineRule="auto"/>
              <w:jc w:val="left"/>
              <w:rPr>
                <w:sz w:val="24"/>
              </w:rPr>
            </w:pPr>
          </w:p>
          <w:p w14:paraId="3483DF5A" w14:textId="77777777" w:rsidR="00BE368C" w:rsidRDefault="00BE368C">
            <w:pPr>
              <w:jc w:val="center"/>
              <w:rPr>
                <w:sz w:val="24"/>
              </w:rPr>
            </w:pPr>
          </w:p>
          <w:p w14:paraId="421C5291" w14:textId="77777777" w:rsidR="00BE368C" w:rsidRDefault="00BE368C">
            <w:pPr>
              <w:jc w:val="center"/>
              <w:rPr>
                <w:sz w:val="24"/>
              </w:rPr>
            </w:pPr>
          </w:p>
          <w:p w14:paraId="53985A78" w14:textId="77777777" w:rsidR="00BE368C" w:rsidRDefault="00BE368C">
            <w:pPr>
              <w:jc w:val="center"/>
              <w:rPr>
                <w:sz w:val="24"/>
              </w:rPr>
            </w:pPr>
          </w:p>
          <w:p w14:paraId="16D3869D" w14:textId="77777777" w:rsidR="00BE368C" w:rsidRDefault="00BE368C">
            <w:pPr>
              <w:jc w:val="center"/>
              <w:rPr>
                <w:sz w:val="24"/>
              </w:rPr>
            </w:pPr>
          </w:p>
          <w:p w14:paraId="4BDFE06B" w14:textId="77777777" w:rsidR="00BE368C" w:rsidRDefault="00BE368C">
            <w:pPr>
              <w:rPr>
                <w:sz w:val="24"/>
              </w:rPr>
            </w:pPr>
          </w:p>
          <w:p w14:paraId="66B1493A" w14:textId="77777777" w:rsidR="00BE368C" w:rsidRDefault="00BE368C">
            <w:pPr>
              <w:jc w:val="center"/>
              <w:rPr>
                <w:sz w:val="24"/>
              </w:rPr>
            </w:pPr>
          </w:p>
          <w:p w14:paraId="3A53268A" w14:textId="253A7A7D" w:rsidR="00BE368C" w:rsidRDefault="00FC0949">
            <w:pPr>
              <w:jc w:val="center"/>
              <w:rPr>
                <w:sz w:val="24"/>
              </w:rPr>
            </w:pPr>
            <w:r>
              <w:rPr>
                <w:rFonts w:hint="eastAsia"/>
                <w:sz w:val="24"/>
              </w:rPr>
              <w:t xml:space="preserve">                                        </w:t>
            </w:r>
            <w:r w:rsidR="00A65D04">
              <w:rPr>
                <w:sz w:val="24"/>
              </w:rPr>
              <w:t xml:space="preserve">  </w:t>
            </w:r>
            <w:r>
              <w:rPr>
                <w:rFonts w:hint="eastAsia"/>
                <w:sz w:val="24"/>
              </w:rPr>
              <w:t>指导教师签字：</w:t>
            </w:r>
            <w:r w:rsidR="00A65D04">
              <w:rPr>
                <w:sz w:val="24"/>
              </w:rPr>
              <w:t xml:space="preserve"> </w:t>
            </w:r>
          </w:p>
          <w:p w14:paraId="22FA4843" w14:textId="7C77A980"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sidR="00A65D04">
              <w:rPr>
                <w:sz w:val="24"/>
              </w:rPr>
              <w:t xml:space="preserve">  </w:t>
            </w:r>
            <w:r>
              <w:rPr>
                <w:rFonts w:hint="eastAsia"/>
                <w:sz w:val="24"/>
              </w:rPr>
              <w:t>日</w:t>
            </w:r>
          </w:p>
          <w:p w14:paraId="76B2FACB" w14:textId="77777777" w:rsidR="00BE368C" w:rsidRDefault="00BE368C">
            <w:pPr>
              <w:jc w:val="center"/>
              <w:rPr>
                <w:sz w:val="24"/>
              </w:rPr>
            </w:pPr>
          </w:p>
        </w:tc>
      </w:tr>
      <w:tr w:rsidR="00BE368C" w14:paraId="50F173EE" w14:textId="77777777" w:rsidTr="00BB1020">
        <w:tc>
          <w:tcPr>
            <w:tcW w:w="8522" w:type="dxa"/>
            <w:gridSpan w:val="8"/>
            <w:vAlign w:val="center"/>
          </w:tcPr>
          <w:p w14:paraId="44E91C82" w14:textId="6A9FF339" w:rsidR="00BE368C" w:rsidRDefault="00FC0949">
            <w:pPr>
              <w:rPr>
                <w:b/>
                <w:sz w:val="24"/>
              </w:rPr>
            </w:pPr>
            <w:r>
              <w:rPr>
                <w:rFonts w:hint="eastAsia"/>
                <w:b/>
                <w:sz w:val="24"/>
              </w:rPr>
              <w:t>答辩小组意见</w:t>
            </w:r>
          </w:p>
          <w:p w14:paraId="3DF77933" w14:textId="77777777" w:rsidR="00BE368C" w:rsidRDefault="00BE368C">
            <w:pPr>
              <w:jc w:val="center"/>
              <w:rPr>
                <w:sz w:val="24"/>
              </w:rPr>
            </w:pPr>
          </w:p>
          <w:p w14:paraId="59F1686D" w14:textId="77777777" w:rsidR="00BE368C" w:rsidRDefault="00BE368C">
            <w:pPr>
              <w:jc w:val="center"/>
              <w:rPr>
                <w:sz w:val="24"/>
              </w:rPr>
            </w:pPr>
          </w:p>
          <w:p w14:paraId="1D4001B4" w14:textId="77777777" w:rsidR="00BE368C" w:rsidRDefault="00BE368C">
            <w:pPr>
              <w:jc w:val="center"/>
              <w:rPr>
                <w:sz w:val="24"/>
              </w:rPr>
            </w:pPr>
          </w:p>
          <w:p w14:paraId="3B8E23A4" w14:textId="77777777" w:rsidR="00BE368C" w:rsidRDefault="00BE368C">
            <w:pPr>
              <w:jc w:val="center"/>
              <w:rPr>
                <w:sz w:val="24"/>
              </w:rPr>
            </w:pPr>
          </w:p>
          <w:p w14:paraId="56FA2ED5" w14:textId="77777777" w:rsidR="00BE368C" w:rsidRDefault="00FC0949">
            <w:pPr>
              <w:jc w:val="center"/>
              <w:rPr>
                <w:sz w:val="24"/>
              </w:rPr>
            </w:pPr>
            <w:r>
              <w:rPr>
                <w:rFonts w:hint="eastAsia"/>
                <w:sz w:val="24"/>
              </w:rPr>
              <w:t xml:space="preserve">                            </w:t>
            </w:r>
          </w:p>
          <w:p w14:paraId="56E37C91" w14:textId="77777777" w:rsidR="00BE368C" w:rsidRDefault="00BE368C">
            <w:pPr>
              <w:jc w:val="center"/>
              <w:rPr>
                <w:sz w:val="24"/>
              </w:rPr>
            </w:pPr>
          </w:p>
          <w:p w14:paraId="702EA2AF" w14:textId="77777777" w:rsidR="00BE368C" w:rsidRDefault="00BE368C">
            <w:pPr>
              <w:jc w:val="center"/>
              <w:rPr>
                <w:sz w:val="24"/>
              </w:rPr>
            </w:pPr>
          </w:p>
          <w:p w14:paraId="482415E0" w14:textId="77777777" w:rsidR="00BE368C" w:rsidRDefault="00FC0949">
            <w:pPr>
              <w:jc w:val="center"/>
              <w:rPr>
                <w:sz w:val="24"/>
              </w:rPr>
            </w:pPr>
            <w:r>
              <w:rPr>
                <w:rFonts w:hint="eastAsia"/>
                <w:sz w:val="24"/>
              </w:rPr>
              <w:t xml:space="preserve">                                        </w:t>
            </w:r>
            <w:r>
              <w:rPr>
                <w:rFonts w:hint="eastAsia"/>
                <w:sz w:val="24"/>
              </w:rPr>
              <w:t>组长签字：</w:t>
            </w:r>
          </w:p>
          <w:p w14:paraId="2B68076C" w14:textId="77777777" w:rsidR="00BE368C" w:rsidRDefault="00FC0949">
            <w:pPr>
              <w:jc w:val="center"/>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14:paraId="59F9460E" w14:textId="77777777" w:rsidR="00FC0949" w:rsidRDefault="00FC0949"/>
    <w:sectPr w:rsidR="00FC0949">
      <w:footerReference w:type="even" r:id="rId7"/>
      <w:footerReference w:type="default" r:id="rId8"/>
      <w:endnotePr>
        <w:numFmt w:val="decimal"/>
      </w:endnotePr>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2B96E" w14:textId="77777777" w:rsidR="00152C16" w:rsidRDefault="00152C16">
      <w:pPr>
        <w:rPr>
          <w:sz w:val="18"/>
        </w:rPr>
      </w:pPr>
    </w:p>
  </w:endnote>
  <w:endnote w:type="continuationSeparator" w:id="0">
    <w:p w14:paraId="14E8D8C0" w14:textId="77777777" w:rsidR="00152C16" w:rsidRDefault="00152C16">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F232"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end"/>
    </w:r>
  </w:p>
  <w:p w14:paraId="51454A19" w14:textId="77777777" w:rsidR="00BE368C" w:rsidRDefault="00BE36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64127" w14:textId="77777777" w:rsidR="00BE368C" w:rsidRDefault="00FC0949">
    <w:pPr>
      <w:pStyle w:val="aa"/>
      <w:framePr w:wrap="around" w:vAnchor="text" w:hAnchor="margin" w:xAlign="center" w:y="1"/>
      <w:rPr>
        <w:rStyle w:val="a6"/>
      </w:rPr>
    </w:pPr>
    <w:r>
      <w:fldChar w:fldCharType="begin"/>
    </w:r>
    <w:r>
      <w:rPr>
        <w:rStyle w:val="a6"/>
      </w:rPr>
      <w:instrText xml:space="preserve">PAGE  </w:instrText>
    </w:r>
    <w:r>
      <w:fldChar w:fldCharType="separate"/>
    </w:r>
    <w:r>
      <w:rPr>
        <w:rStyle w:val="a6"/>
      </w:rPr>
      <w:t>3</w:t>
    </w:r>
    <w:r>
      <w:fldChar w:fldCharType="end"/>
    </w:r>
  </w:p>
  <w:p w14:paraId="1D8E1FF4" w14:textId="77777777" w:rsidR="00BE368C" w:rsidRDefault="00BE36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DE0E3" w14:textId="77777777" w:rsidR="00152C16" w:rsidRDefault="00152C16">
      <w:pPr>
        <w:rPr>
          <w:sz w:val="18"/>
        </w:rPr>
      </w:pPr>
    </w:p>
  </w:footnote>
  <w:footnote w:type="continuationSeparator" w:id="0">
    <w:p w14:paraId="2A99F386" w14:textId="77777777" w:rsidR="00152C16" w:rsidRDefault="00152C16">
      <w:pPr>
        <w:rPr>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0291C"/>
    <w:multiLevelType w:val="multilevel"/>
    <w:tmpl w:val="2950291C"/>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44C"/>
    <w:rsid w:val="0001684A"/>
    <w:rsid w:val="00052AD5"/>
    <w:rsid w:val="00062FAC"/>
    <w:rsid w:val="000631DB"/>
    <w:rsid w:val="00065DDD"/>
    <w:rsid w:val="00082993"/>
    <w:rsid w:val="000907E9"/>
    <w:rsid w:val="000A087B"/>
    <w:rsid w:val="000C6D72"/>
    <w:rsid w:val="000D1C58"/>
    <w:rsid w:val="000E6CE3"/>
    <w:rsid w:val="00147755"/>
    <w:rsid w:val="00152C16"/>
    <w:rsid w:val="0015584C"/>
    <w:rsid w:val="00174275"/>
    <w:rsid w:val="0017665B"/>
    <w:rsid w:val="00187CB1"/>
    <w:rsid w:val="00195804"/>
    <w:rsid w:val="001A1579"/>
    <w:rsid w:val="001A25FE"/>
    <w:rsid w:val="001C3DAF"/>
    <w:rsid w:val="001C4DD9"/>
    <w:rsid w:val="001C5F7A"/>
    <w:rsid w:val="001E4963"/>
    <w:rsid w:val="00204438"/>
    <w:rsid w:val="00204503"/>
    <w:rsid w:val="00205C8B"/>
    <w:rsid w:val="00206D85"/>
    <w:rsid w:val="00231806"/>
    <w:rsid w:val="00247ADA"/>
    <w:rsid w:val="00250943"/>
    <w:rsid w:val="002773BA"/>
    <w:rsid w:val="00284D84"/>
    <w:rsid w:val="002A3BC5"/>
    <w:rsid w:val="002C4B5C"/>
    <w:rsid w:val="00314208"/>
    <w:rsid w:val="00314397"/>
    <w:rsid w:val="00363CB5"/>
    <w:rsid w:val="0036544C"/>
    <w:rsid w:val="00373FC3"/>
    <w:rsid w:val="00382A8F"/>
    <w:rsid w:val="00392D83"/>
    <w:rsid w:val="00397613"/>
    <w:rsid w:val="003A3F8D"/>
    <w:rsid w:val="003B2222"/>
    <w:rsid w:val="003B4C47"/>
    <w:rsid w:val="003B4CC1"/>
    <w:rsid w:val="003B55E8"/>
    <w:rsid w:val="003C0955"/>
    <w:rsid w:val="00402C93"/>
    <w:rsid w:val="0041342A"/>
    <w:rsid w:val="00414CA0"/>
    <w:rsid w:val="00422964"/>
    <w:rsid w:val="004E5CCE"/>
    <w:rsid w:val="00544538"/>
    <w:rsid w:val="00564F56"/>
    <w:rsid w:val="005658B7"/>
    <w:rsid w:val="0059410D"/>
    <w:rsid w:val="005B4D1B"/>
    <w:rsid w:val="005B736D"/>
    <w:rsid w:val="005D460C"/>
    <w:rsid w:val="005E0941"/>
    <w:rsid w:val="005F4E08"/>
    <w:rsid w:val="005F595F"/>
    <w:rsid w:val="00601D69"/>
    <w:rsid w:val="0060237D"/>
    <w:rsid w:val="006117A6"/>
    <w:rsid w:val="00612C25"/>
    <w:rsid w:val="0062384B"/>
    <w:rsid w:val="00631DA5"/>
    <w:rsid w:val="00641B48"/>
    <w:rsid w:val="0068163A"/>
    <w:rsid w:val="006A2A27"/>
    <w:rsid w:val="00725232"/>
    <w:rsid w:val="007622E4"/>
    <w:rsid w:val="00777526"/>
    <w:rsid w:val="00790CE5"/>
    <w:rsid w:val="00791F72"/>
    <w:rsid w:val="007A16E0"/>
    <w:rsid w:val="007A3FAA"/>
    <w:rsid w:val="007D3943"/>
    <w:rsid w:val="007D3A5E"/>
    <w:rsid w:val="007F44FD"/>
    <w:rsid w:val="00822010"/>
    <w:rsid w:val="0084107E"/>
    <w:rsid w:val="00841900"/>
    <w:rsid w:val="00861877"/>
    <w:rsid w:val="008727E9"/>
    <w:rsid w:val="0089107C"/>
    <w:rsid w:val="00893E1C"/>
    <w:rsid w:val="008958F5"/>
    <w:rsid w:val="008975C3"/>
    <w:rsid w:val="008C7A76"/>
    <w:rsid w:val="008D24C6"/>
    <w:rsid w:val="008F08F5"/>
    <w:rsid w:val="008F4645"/>
    <w:rsid w:val="008F6739"/>
    <w:rsid w:val="00900260"/>
    <w:rsid w:val="009664DE"/>
    <w:rsid w:val="0097559A"/>
    <w:rsid w:val="009D361C"/>
    <w:rsid w:val="009E70A0"/>
    <w:rsid w:val="00A41891"/>
    <w:rsid w:val="00A65D04"/>
    <w:rsid w:val="00A702CE"/>
    <w:rsid w:val="00A718C9"/>
    <w:rsid w:val="00A83C0F"/>
    <w:rsid w:val="00AA7155"/>
    <w:rsid w:val="00AB304C"/>
    <w:rsid w:val="00AC6E83"/>
    <w:rsid w:val="00AD56EE"/>
    <w:rsid w:val="00AE240A"/>
    <w:rsid w:val="00B10451"/>
    <w:rsid w:val="00B4551C"/>
    <w:rsid w:val="00B4583E"/>
    <w:rsid w:val="00B760BA"/>
    <w:rsid w:val="00B82B93"/>
    <w:rsid w:val="00BB1020"/>
    <w:rsid w:val="00BC7B1D"/>
    <w:rsid w:val="00BD1A43"/>
    <w:rsid w:val="00BE2748"/>
    <w:rsid w:val="00BE3177"/>
    <w:rsid w:val="00BE368C"/>
    <w:rsid w:val="00C07566"/>
    <w:rsid w:val="00C14CEB"/>
    <w:rsid w:val="00C230CA"/>
    <w:rsid w:val="00C404BB"/>
    <w:rsid w:val="00C52B50"/>
    <w:rsid w:val="00C75DFD"/>
    <w:rsid w:val="00C86982"/>
    <w:rsid w:val="00CA1144"/>
    <w:rsid w:val="00CA5835"/>
    <w:rsid w:val="00CC0CEA"/>
    <w:rsid w:val="00CD23AE"/>
    <w:rsid w:val="00D21793"/>
    <w:rsid w:val="00D31EB7"/>
    <w:rsid w:val="00D577F9"/>
    <w:rsid w:val="00D93149"/>
    <w:rsid w:val="00D95968"/>
    <w:rsid w:val="00D96362"/>
    <w:rsid w:val="00DA189C"/>
    <w:rsid w:val="00DC0FD9"/>
    <w:rsid w:val="00DC693B"/>
    <w:rsid w:val="00DD3CB8"/>
    <w:rsid w:val="00DF1348"/>
    <w:rsid w:val="00DF1912"/>
    <w:rsid w:val="00DF32B0"/>
    <w:rsid w:val="00E00FF6"/>
    <w:rsid w:val="00E02743"/>
    <w:rsid w:val="00E32B3E"/>
    <w:rsid w:val="00E35B82"/>
    <w:rsid w:val="00E407FE"/>
    <w:rsid w:val="00E44F93"/>
    <w:rsid w:val="00EB29A2"/>
    <w:rsid w:val="00F076E8"/>
    <w:rsid w:val="00F10C90"/>
    <w:rsid w:val="00F50E4F"/>
    <w:rsid w:val="00F6340D"/>
    <w:rsid w:val="00FA7EDA"/>
    <w:rsid w:val="00FC0949"/>
    <w:rsid w:val="00FE6F7B"/>
    <w:rsid w:val="00FE701F"/>
    <w:rsid w:val="0CE6689F"/>
    <w:rsid w:val="0D022E07"/>
    <w:rsid w:val="17D017BB"/>
    <w:rsid w:val="1D05609A"/>
    <w:rsid w:val="1DCD54F1"/>
    <w:rsid w:val="20F44BC6"/>
    <w:rsid w:val="2123558A"/>
    <w:rsid w:val="257615DA"/>
    <w:rsid w:val="285E7F7C"/>
    <w:rsid w:val="2AE51F69"/>
    <w:rsid w:val="2C3D2CBD"/>
    <w:rsid w:val="3D214B2B"/>
    <w:rsid w:val="409A36DE"/>
    <w:rsid w:val="42820D2D"/>
    <w:rsid w:val="42F935E6"/>
    <w:rsid w:val="438D6C39"/>
    <w:rsid w:val="47A6099C"/>
    <w:rsid w:val="4E72168C"/>
    <w:rsid w:val="56C94E62"/>
    <w:rsid w:val="58DC059F"/>
    <w:rsid w:val="5FA852FB"/>
    <w:rsid w:val="61061490"/>
    <w:rsid w:val="628978E8"/>
    <w:rsid w:val="67C31588"/>
    <w:rsid w:val="68CA29C5"/>
    <w:rsid w:val="68DA545B"/>
    <w:rsid w:val="6D40110C"/>
    <w:rsid w:val="70453236"/>
    <w:rsid w:val="729476F2"/>
    <w:rsid w:val="7F16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1FF2979"/>
  <w15:chartTrackingRefBased/>
  <w15:docId w15:val="{199A137A-9B91-E245-B1DD-42AE202E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CCE"/>
    <w:pPr>
      <w:widowControl w:val="0"/>
      <w:jc w:val="both"/>
    </w:pPr>
    <w:rPr>
      <w:kern w:val="2"/>
      <w:sz w:val="21"/>
      <w:szCs w:val="24"/>
    </w:rPr>
  </w:style>
  <w:style w:type="paragraph" w:styleId="3">
    <w:name w:val="heading 3"/>
    <w:basedOn w:val="a"/>
    <w:link w:val="30"/>
    <w:uiPriority w:val="9"/>
    <w:qFormat/>
    <w:pPr>
      <w:widowControl/>
      <w:spacing w:before="100" w:beforeAutospacing="1" w:after="100" w:afterAutospacing="1"/>
      <w:jc w:val="left"/>
      <w:outlineLvl w:val="2"/>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line-content2">
    <w:name w:val="headline-content2"/>
    <w:basedOn w:val="a0"/>
  </w:style>
  <w:style w:type="character" w:customStyle="1" w:styleId="a3">
    <w:name w:val="页眉 字符"/>
    <w:link w:val="a4"/>
    <w:rPr>
      <w:kern w:val="2"/>
      <w:sz w:val="18"/>
      <w:szCs w:val="18"/>
    </w:rPr>
  </w:style>
  <w:style w:type="character" w:styleId="a5">
    <w:name w:val="endnote reference"/>
    <w:rPr>
      <w:vertAlign w:val="superscript"/>
    </w:rPr>
  </w:style>
  <w:style w:type="character" w:styleId="a6">
    <w:name w:val="page number"/>
    <w:basedOn w:val="a0"/>
  </w:style>
  <w:style w:type="character" w:styleId="a7">
    <w:name w:val="Hyperlink"/>
    <w:uiPriority w:val="99"/>
    <w:unhideWhenUsed/>
    <w:rPr>
      <w:strike w:val="0"/>
      <w:dstrike w:val="0"/>
      <w:color w:val="136EC2"/>
      <w:u w:val="single"/>
    </w:rPr>
  </w:style>
  <w:style w:type="character" w:customStyle="1" w:styleId="30">
    <w:name w:val="标题 3 字符"/>
    <w:link w:val="3"/>
    <w:uiPriority w:val="9"/>
    <w:rPr>
      <w:rFonts w:ascii="宋体" w:hAnsi="宋体" w:cs="宋体"/>
      <w:b/>
      <w:bCs/>
      <w:sz w:val="24"/>
      <w:szCs w:val="24"/>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styleId="a4">
    <w:name w:val="header"/>
    <w:basedOn w:val="a"/>
    <w:link w:val="a3"/>
    <w:pPr>
      <w:pBdr>
        <w:bottom w:val="single" w:sz="6" w:space="1" w:color="auto"/>
      </w:pBdr>
      <w:tabs>
        <w:tab w:val="center" w:pos="4153"/>
        <w:tab w:val="right" w:pos="8306"/>
      </w:tabs>
      <w:snapToGrid w:val="0"/>
      <w:jc w:val="center"/>
    </w:pPr>
    <w:rPr>
      <w:sz w:val="18"/>
      <w:szCs w:val="18"/>
    </w:rPr>
  </w:style>
  <w:style w:type="paragraph" w:styleId="a9">
    <w:name w:val="annotation text"/>
    <w:basedOn w:val="a"/>
    <w:pPr>
      <w:jc w:val="left"/>
    </w:pPr>
  </w:style>
  <w:style w:type="paragraph" w:styleId="aa">
    <w:name w:val="footer"/>
    <w:basedOn w:val="a"/>
    <w:pPr>
      <w:tabs>
        <w:tab w:val="center" w:pos="4153"/>
        <w:tab w:val="right" w:pos="8306"/>
      </w:tabs>
      <w:snapToGrid w:val="0"/>
      <w:jc w:val="left"/>
    </w:pPr>
    <w:rPr>
      <w:sz w:val="18"/>
      <w:szCs w:val="18"/>
    </w:rPr>
  </w:style>
  <w:style w:type="paragraph" w:styleId="ab">
    <w:name w:val="endnote text"/>
    <w:basedOn w:val="a"/>
    <w:pPr>
      <w:snapToGrid w:val="0"/>
      <w:jc w:val="left"/>
    </w:pPr>
    <w:rPr>
      <w:szCs w:val="20"/>
    </w:rPr>
  </w:style>
  <w:style w:type="paragraph" w:styleId="ac">
    <w:name w:val="caption"/>
    <w:basedOn w:val="a"/>
    <w:next w:val="a"/>
    <w:qFormat/>
    <w:rPr>
      <w:rFonts w:ascii="Arial" w:eastAsia="黑体" w:hAnsi="Arial"/>
      <w:sz w:val="20"/>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78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116</Words>
  <Characters>664</Characters>
  <Application>Microsoft Office Word</Application>
  <DocSecurity>0</DocSecurity>
  <Lines>5</Lines>
  <Paragraphs>1</Paragraphs>
  <ScaleCrop>false</ScaleCrop>
  <Company>黑龙江大学</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学院教学计划</dc:title>
  <dc:subject/>
  <dc:creator>bn</dc:creator>
  <cp:keywords/>
  <cp:lastModifiedBy>Microsoft Office User</cp:lastModifiedBy>
  <cp:revision>31</cp:revision>
  <cp:lastPrinted>2007-06-12T03:03:00Z</cp:lastPrinted>
  <dcterms:created xsi:type="dcterms:W3CDTF">2023-10-18T09:26:00Z</dcterms:created>
  <dcterms:modified xsi:type="dcterms:W3CDTF">2024-08-13T09:54:00Z</dcterms:modified>
  <dc:description/>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